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F1D55" w14:textId="38B84AE0" w:rsidR="002C0FF8" w:rsidRDefault="00B32DCF">
      <w:r>
        <w:t>Gastrointestinal Endoscopy post HSCT</w:t>
      </w:r>
    </w:p>
    <w:p w14:paraId="3D46C432" w14:textId="77777777" w:rsidR="00B32DCF" w:rsidRDefault="00B32DCF"/>
    <w:p w14:paraId="0D8596E2" w14:textId="77777777" w:rsidR="00B32DCF" w:rsidRDefault="00B32DCF"/>
    <w:p w14:paraId="0E39DB2A" w14:textId="07DF8DFE" w:rsidR="00B32DCF" w:rsidRDefault="00B32DCF">
      <w:r>
        <w:rPr>
          <w:noProof/>
        </w:rPr>
        <w:drawing>
          <wp:inline distT="0" distB="0" distL="0" distR="0" wp14:anchorId="265700F2" wp14:editId="57440FD9">
            <wp:extent cx="5727700" cy="5368925"/>
            <wp:effectExtent l="0" t="0" r="0" b="317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2082" w14:textId="77777777" w:rsidR="00B32DCF" w:rsidRDefault="00B32DCF"/>
    <w:p w14:paraId="182F7274" w14:textId="77777777" w:rsidR="00B32DCF" w:rsidRDefault="00B32DCF"/>
    <w:p w14:paraId="7DBD4C06" w14:textId="31731F45" w:rsidR="00B32DCF" w:rsidRDefault="00B32DCF">
      <w:hyperlink r:id="rId5" w:history="1">
        <w:r w:rsidRPr="00B32DCF">
          <w:rPr>
            <w:rStyle w:val="Hyperlink"/>
          </w:rPr>
          <w:t>Full text link</w:t>
        </w:r>
      </w:hyperlink>
    </w:p>
    <w:p w14:paraId="305D6448" w14:textId="77777777" w:rsidR="00B32DCF" w:rsidRDefault="00B32DCF"/>
    <w:p w14:paraId="7DDD9AE6" w14:textId="77777777" w:rsidR="00B32DCF" w:rsidRDefault="00B32DCF"/>
    <w:sectPr w:rsidR="00B32DCF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CF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A27F58"/>
    <w:rsid w:val="00B32DCF"/>
    <w:rsid w:val="00D33E93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53AA8"/>
  <w14:defaultImageDpi w14:val="32767"/>
  <w15:chartTrackingRefBased/>
  <w15:docId w15:val="{0CFDDD88-A7F0-A844-B59C-A113DA30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2D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32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4000/Complications_and_Utility_of_Gastrointestinal.20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2023-03-23T14:15:00Z</dcterms:created>
  <dcterms:modified xsi:type="dcterms:W3CDTF">2023-03-23T14:19:00Z</dcterms:modified>
</cp:coreProperties>
</file>