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2557" w14:textId="6838AF43" w:rsidR="00F13B52" w:rsidRDefault="00057CD9" w:rsidP="00C72F48">
      <w:r>
        <w:t>Link</w:t>
      </w:r>
      <w:r w:rsidR="00C72F48">
        <w:t xml:space="preserve">: </w:t>
      </w:r>
      <w:hyperlink r:id="rId5" w:history="1">
        <w:r w:rsidR="00C72F48" w:rsidRPr="0029147B">
          <w:rPr>
            <w:rStyle w:val="Hyperlink"/>
          </w:rPr>
          <w:t>https://onlinelibrary.wiley.com/doi/10.1002/jpn3.70160</w:t>
        </w:r>
      </w:hyperlink>
    </w:p>
    <w:p w14:paraId="4B2405D5" w14:textId="77777777" w:rsidR="00C72F48" w:rsidRDefault="00C72F48" w:rsidP="00C72F48"/>
    <w:p w14:paraId="2BBF50A6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noProof/>
          <w:color w:val="123D8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71AE6A89" wp14:editId="4B3A10CA">
            <wp:extent cx="6572250" cy="752475"/>
            <wp:effectExtent l="0" t="0" r="0" b="9525"/>
            <wp:docPr id="1" name="journal-banner-image" descr="Journal of Pediatric Gastroenterology and Nutrition">
              <a:hlinkClick xmlns:a="http://schemas.openxmlformats.org/drawingml/2006/main" r:id="rId6" tooltip="&quot;Journal of Pediatric Gastroenterology and Nutrit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-banner-image" descr="Journal of Pediatric Gastroenterology and Nutrition">
                      <a:hlinkClick r:id="rId6" tooltip="&quot;Journal of Pediatric Gastroenterology and Nutrit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C4BF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ORIGINAL ARTICLE</w:t>
      </w:r>
    </w:p>
    <w:p w14:paraId="57D9C86C" w14:textId="77777777" w:rsidR="00C72F48" w:rsidRPr="00C72F48" w:rsidRDefault="00C72F48" w:rsidP="00C72F4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</w:pPr>
      <w:r w:rsidRPr="00C72F48"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>Predictors of antitumor necrosis factor primary nonresponse and drug durability in pediatric inflammatory bowel disease</w:t>
      </w:r>
    </w:p>
    <w:p w14:paraId="58EACCCC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hyperlink r:id="rId8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Nicole Davidson</w:t>
        </w:r>
      </w:hyperlink>
      <w:r w:rsidRPr="00C72F48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9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Grant A. Morris</w:t>
        </w:r>
      </w:hyperlink>
      <w:r w:rsidRPr="00C72F48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0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Molly A. Wright</w:t>
        </w:r>
      </w:hyperlink>
      <w:r w:rsidRPr="00C72F48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1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Guy Brock</w:t>
        </w:r>
      </w:hyperlink>
      <w:r w:rsidRPr="00C72F48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2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Brendan Boyle</w:t>
        </w:r>
      </w:hyperlink>
      <w:r w:rsidRPr="00C72F48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3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Jennifer L. Dotson</w:t>
        </w:r>
      </w:hyperlink>
      <w:r w:rsidRPr="00C72F48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4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Hilary K. Michel</w:t>
        </w:r>
      </w:hyperlink>
      <w:r w:rsidRPr="00C72F48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5" w:history="1">
        <w:r w:rsidRPr="00C72F48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Ross M. Maltz</w:t>
        </w:r>
      </w:hyperlink>
    </w:p>
    <w:p w14:paraId="42BF87B9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 xml:space="preserve">First published: </w:t>
      </w:r>
      <w:r w:rsidRPr="00C72F48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21 July 2025</w:t>
      </w:r>
    </w:p>
    <w:p w14:paraId="48C6A756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> </w:t>
      </w:r>
    </w:p>
    <w:p w14:paraId="080E7400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hyperlink r:id="rId16" w:history="1">
        <w:r w:rsidRPr="00C72F48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https://doi.org/10.1002/jpn3.70160</w:t>
        </w:r>
      </w:hyperlink>
    </w:p>
    <w:p w14:paraId="2D84CABD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en-GB"/>
          <w14:ligatures w14:val="none"/>
        </w:rPr>
      </w:pPr>
      <w:hyperlink r:id="rId17" w:history="1">
        <w:r w:rsidRPr="00C72F48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lang w:eastAsia="en-GB"/>
            <w14:ligatures w14:val="none"/>
          </w:rPr>
          <w:t>Read the</w:t>
        </w:r>
        <w:r w:rsidRPr="00C72F48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 full text</w:t>
        </w:r>
      </w:hyperlink>
    </w:p>
    <w:p w14:paraId="22FD7E84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 </w:t>
      </w:r>
    </w:p>
    <w:p w14:paraId="71EB4A91" w14:textId="77777777" w:rsidR="00C72F48" w:rsidRPr="00C72F48" w:rsidRDefault="00C72F48" w:rsidP="00C72F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hyperlink r:id="rId18" w:history="1">
        <w:r w:rsidRPr="00C72F48">
          <w:rPr>
            <w:rFonts w:ascii="Open Sans" w:eastAsia="Times New Roman" w:hAnsi="Open Sans" w:cs="Open Sans"/>
            <w:caps/>
            <w:color w:val="313131"/>
            <w:kern w:val="0"/>
            <w:sz w:val="21"/>
            <w:szCs w:val="21"/>
            <w:u w:val="single"/>
            <w:lang w:eastAsia="en-GB"/>
            <w14:ligatures w14:val="none"/>
          </w:rPr>
          <w:t>Share</w:t>
        </w:r>
      </w:hyperlink>
    </w:p>
    <w:p w14:paraId="6A989ADA" w14:textId="77777777" w:rsidR="00C72F48" w:rsidRPr="00C72F48" w:rsidRDefault="00C72F48" w:rsidP="00C72F4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  <w:t>Abstract</w:t>
      </w:r>
    </w:p>
    <w:p w14:paraId="7B7998E6" w14:textId="77777777" w:rsidR="00C72F48" w:rsidRPr="00C72F48" w:rsidRDefault="00C72F48" w:rsidP="00C72F48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Objectives</w:t>
      </w:r>
    </w:p>
    <w:p w14:paraId="02EBAB7D" w14:textId="77777777" w:rsidR="00C72F48" w:rsidRPr="00C72F48" w:rsidRDefault="00C72F48" w:rsidP="00C72F48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Antitumor necrosis factor (anti-TNF) therapies are first-line therapies for children with inflammatory bowel disease (IBD) (Crohn's disease [CD], ulcerative colitis [UC] and IBD-unclassified [IBD-U]). Limited studies describing anti-TNFs durability and loss of response in children. This study evaluates predictors of primary Nonresponse and 3-year drug durability in children with IBD.</w:t>
      </w:r>
    </w:p>
    <w:p w14:paraId="261E9EAC" w14:textId="77777777" w:rsidR="00C72F48" w:rsidRPr="00C72F48" w:rsidRDefault="00C72F48" w:rsidP="00C72F48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Methods</w:t>
      </w:r>
    </w:p>
    <w:p w14:paraId="7FB9F22B" w14:textId="77777777" w:rsidR="00C72F48" w:rsidRPr="00C72F48" w:rsidRDefault="00C72F48" w:rsidP="00C72F48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This was a single-</w:t>
      </w:r>
      <w:proofErr w:type="spellStart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center</w:t>
      </w:r>
      <w:proofErr w:type="spellEnd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retrospective review of patients with IBD less than 18 years old who initiated anti-TNF (infliximab or adalimumab) from January 1, 2014, to December 31, 2019. Clinical and laboratory data were recorded at the time of anti-TNF initiation, 14 weeks, 12 months, and 3 years. Predictors of primary nonresponse (discontinuation within 14 weeks) and durability were assessed.</w:t>
      </w:r>
    </w:p>
    <w:p w14:paraId="1B8C499E" w14:textId="77777777" w:rsidR="00C72F48" w:rsidRPr="00C72F48" w:rsidRDefault="00C72F48" w:rsidP="00C72F48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lastRenderedPageBreak/>
        <w:t>Results</w:t>
      </w:r>
    </w:p>
    <w:p w14:paraId="6FF0FEBF" w14:textId="77777777" w:rsidR="00C72F48" w:rsidRPr="00C72F48" w:rsidRDefault="00C72F48" w:rsidP="00C72F48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A total of 456 patients initiated anti-TNF therapy (183 adalimumab and 273 infliximab). Thirty-seven (8%) patients were primary </w:t>
      </w:r>
      <w:proofErr w:type="spellStart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nonresponders</w:t>
      </w:r>
      <w:proofErr w:type="spellEnd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. The 3-year drug durability for both therapies was &gt;70%. Among patients with CD, the 3-year durability was &gt;75% for both therapies. The 3-year durability with UC/IBD-U was 37% for adalimumab and 56% for infliximab. Predictors of primary nonresponse were an erythrocyte sedimentation rate &gt; 55 mm/h in CD on infliximab, and baseline albumin &lt;4 g/dL and &lt;15.6 years at diagnosis in UC/IBD-U.</w:t>
      </w:r>
    </w:p>
    <w:p w14:paraId="0B69E91D" w14:textId="77777777" w:rsidR="00C72F48" w:rsidRPr="00C72F48" w:rsidRDefault="00C72F48" w:rsidP="00C72F48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Conclusions</w:t>
      </w:r>
    </w:p>
    <w:p w14:paraId="7920BD98" w14:textId="77777777" w:rsidR="00C72F48" w:rsidRPr="00C72F48" w:rsidRDefault="00C72F48" w:rsidP="00C72F48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Anti-TNF therapies had a 3-year durability of &gt;75% in patients with CD, while the durability was lower (37%–56%) for patients with UC/IBD-U. Less than 10% of patients were considered primary </w:t>
      </w:r>
      <w:proofErr w:type="spellStart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nonresponders</w:t>
      </w:r>
      <w:proofErr w:type="spellEnd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, which lends support to the long-term durability of anti-TNF therapies for </w:t>
      </w:r>
      <w:proofErr w:type="spellStart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pediatric</w:t>
      </w:r>
      <w:proofErr w:type="spellEnd"/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IBD while keeping in mind predictive factors of Nonresponse.</w:t>
      </w:r>
    </w:p>
    <w:p w14:paraId="78167C08" w14:textId="77777777" w:rsidR="00C72F48" w:rsidRPr="00C72F48" w:rsidRDefault="00C72F48" w:rsidP="00C72F48">
      <w:pPr>
        <w:shd w:val="clear" w:color="auto" w:fill="FFFFFF"/>
        <w:spacing w:before="100" w:beforeAutospacing="1" w:after="18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CONFLICT OF INTEREST STATEMENT</w:t>
      </w:r>
    </w:p>
    <w:p w14:paraId="11A13D04" w14:textId="77777777" w:rsidR="00C72F48" w:rsidRPr="00C72F48" w:rsidRDefault="00C72F48" w:rsidP="00C72F48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C72F48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The authors declare no conflicts of interest.</w:t>
      </w:r>
    </w:p>
    <w:p w14:paraId="212ABC4D" w14:textId="77777777" w:rsidR="00C72F48" w:rsidRPr="00C8635F" w:rsidRDefault="00C72F48" w:rsidP="00C72F48">
      <w:pP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</w:p>
    <w:p w14:paraId="654FD0D6" w14:textId="77777777" w:rsidR="00057CD9" w:rsidRDefault="00057CD9"/>
    <w:sectPr w:rsidR="0005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49EE"/>
    <w:multiLevelType w:val="multilevel"/>
    <w:tmpl w:val="EFD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16F8"/>
    <w:multiLevelType w:val="multilevel"/>
    <w:tmpl w:val="AD9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A06EE"/>
    <w:multiLevelType w:val="multilevel"/>
    <w:tmpl w:val="4D8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42F20"/>
    <w:multiLevelType w:val="multilevel"/>
    <w:tmpl w:val="52F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415304">
    <w:abstractNumId w:val="2"/>
  </w:num>
  <w:num w:numId="2" w16cid:durableId="533540689">
    <w:abstractNumId w:val="3"/>
  </w:num>
  <w:num w:numId="3" w16cid:durableId="2060471355">
    <w:abstractNumId w:val="0"/>
  </w:num>
  <w:num w:numId="4" w16cid:durableId="79240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9"/>
    <w:rsid w:val="00057CD9"/>
    <w:rsid w:val="000E7C3D"/>
    <w:rsid w:val="001A30D7"/>
    <w:rsid w:val="002432DB"/>
    <w:rsid w:val="002E64D2"/>
    <w:rsid w:val="0032500D"/>
    <w:rsid w:val="00397978"/>
    <w:rsid w:val="006268E7"/>
    <w:rsid w:val="00804C2E"/>
    <w:rsid w:val="00817074"/>
    <w:rsid w:val="008709D2"/>
    <w:rsid w:val="008A45DF"/>
    <w:rsid w:val="0090050B"/>
    <w:rsid w:val="00B05856"/>
    <w:rsid w:val="00B76358"/>
    <w:rsid w:val="00BE110F"/>
    <w:rsid w:val="00C33BE4"/>
    <w:rsid w:val="00C72F48"/>
    <w:rsid w:val="00C755AD"/>
    <w:rsid w:val="00C8635F"/>
    <w:rsid w:val="00D73465"/>
    <w:rsid w:val="00EA5B33"/>
    <w:rsid w:val="00EB2974"/>
    <w:rsid w:val="00F13B52"/>
    <w:rsid w:val="00F24EBA"/>
    <w:rsid w:val="00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4A6"/>
  <w15:chartTrackingRefBased/>
  <w15:docId w15:val="{65E1ACAD-CD03-4803-B5A6-6B1D6649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C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04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2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1F1F1F"/>
                        <w:left w:val="single" w:sz="24" w:space="0" w:color="1F1F1F"/>
                        <w:bottom w:val="single" w:sz="24" w:space="0" w:color="1F1F1F"/>
                        <w:right w:val="single" w:sz="24" w:space="0" w:color="1F1F1F"/>
                      </w:divBdr>
                      <w:divsChild>
                        <w:div w:id="6207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43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7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6261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8299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6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12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8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3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5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0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3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811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083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138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11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161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653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306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900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901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912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4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1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43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2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7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8D9DA"/>
                                        <w:right w:val="none" w:sz="0" w:space="0" w:color="auto"/>
                                      </w:divBdr>
                                      <w:divsChild>
                                        <w:div w:id="2121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8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4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8451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563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23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Davidson/Nicole" TargetMode="External"/><Relationship Id="rId13" Type="http://schemas.openxmlformats.org/officeDocument/2006/relationships/hyperlink" Target="https://onlinelibrary.wiley.com/authored-by/Dotson/Jennifer+L." TargetMode="External"/><Relationship Id="rId18" Type="http://schemas.openxmlformats.org/officeDocument/2006/relationships/hyperlink" Target="https://onlinelibrary.wiley.com/doi/10.1002/jpn3.701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nlinelibrary.wiley.com/authored-by/Boyle/Brendan" TargetMode="External"/><Relationship Id="rId17" Type="http://schemas.openxmlformats.org/officeDocument/2006/relationships/hyperlink" Target="https://onlinelibrary.wiley.com/doi/full/10.1002/jpn3.701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jpn3.701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journal/15364801" TargetMode="External"/><Relationship Id="rId11" Type="http://schemas.openxmlformats.org/officeDocument/2006/relationships/hyperlink" Target="https://onlinelibrary.wiley.com/authored-by/Brock/Guy" TargetMode="External"/><Relationship Id="rId5" Type="http://schemas.openxmlformats.org/officeDocument/2006/relationships/hyperlink" Target="https://onlinelibrary.wiley.com/doi/10.1002/jpn3.70160" TargetMode="External"/><Relationship Id="rId15" Type="http://schemas.openxmlformats.org/officeDocument/2006/relationships/hyperlink" Target="https://onlinelibrary.wiley.com/authored-by/Maltz/Ross+M." TargetMode="External"/><Relationship Id="rId10" Type="http://schemas.openxmlformats.org/officeDocument/2006/relationships/hyperlink" Target="https://onlinelibrary.wiley.com/authored-by/Wright/Molly+A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Morris/Grant+A." TargetMode="External"/><Relationship Id="rId14" Type="http://schemas.openxmlformats.org/officeDocument/2006/relationships/hyperlink" Target="https://onlinelibrary.wiley.com/authored-by/Michel/Hilary+K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Alqahtani</dc:creator>
  <cp:keywords/>
  <dc:description/>
  <cp:lastModifiedBy>Fatimah Alqahtani</cp:lastModifiedBy>
  <cp:revision>2</cp:revision>
  <dcterms:created xsi:type="dcterms:W3CDTF">2025-08-03T14:13:00Z</dcterms:created>
  <dcterms:modified xsi:type="dcterms:W3CDTF">2025-08-03T14:13:00Z</dcterms:modified>
</cp:coreProperties>
</file>