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D7D4" w14:textId="02AE3E8D" w:rsidR="00D959ED" w:rsidRDefault="00057CD9" w:rsidP="00FD0FD3">
      <w:r>
        <w:t>Link</w:t>
      </w:r>
      <w:r w:rsidR="00FD0FD3">
        <w:t>:</w:t>
      </w:r>
      <w:r w:rsidR="007231B9">
        <w:t xml:space="preserve"> </w:t>
      </w:r>
      <w:hyperlink r:id="rId5" w:history="1">
        <w:r w:rsidR="004B4B3F" w:rsidRPr="00B10411">
          <w:rPr>
            <w:rStyle w:val="Hyperlink"/>
          </w:rPr>
          <w:t>https://onlinelibrary.wiley.com/doi/10.1002/jpn3.70196</w:t>
        </w:r>
      </w:hyperlink>
    </w:p>
    <w:p w14:paraId="6E68E04B" w14:textId="77777777" w:rsidR="004B4B3F" w:rsidRDefault="004B4B3F" w:rsidP="00FD0FD3"/>
    <w:p w14:paraId="342DF4F5" w14:textId="77777777" w:rsidR="007231B9" w:rsidRPr="007231B9" w:rsidRDefault="007231B9" w:rsidP="00723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noProof/>
          <w:color w:val="123D8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6C779BDC" wp14:editId="43A33464">
            <wp:extent cx="6572250" cy="752475"/>
            <wp:effectExtent l="0" t="0" r="0" b="9525"/>
            <wp:docPr id="1" name="journal-banner-image" descr="Journal of Pediatric Gastroenterology and Nutrition">
              <a:hlinkClick xmlns:a="http://schemas.openxmlformats.org/drawingml/2006/main" r:id="rId6" tooltip="&quot;Journal of Pediatric Gastroenterology and Nutrition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-banner-image" descr="Journal of Pediatric Gastroenterology and Nutrition">
                      <a:hlinkClick r:id="rId6" tooltip="&quot;Journal of Pediatric Gastroenterology and Nutrition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B3750" w14:textId="77777777" w:rsidR="007231B9" w:rsidRPr="007231B9" w:rsidRDefault="007231B9" w:rsidP="00723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ORIGINAL ARTICLE</w:t>
      </w:r>
    </w:p>
    <w:p w14:paraId="4925EFDF" w14:textId="77777777" w:rsidR="007231B9" w:rsidRPr="007231B9" w:rsidRDefault="007231B9" w:rsidP="007231B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</w:pPr>
      <w:r w:rsidRPr="007231B9"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  <w:t>Coexistence of hepatitis B e antigen and antibody during antiviral treatment predicts better clinical outcomes in children</w:t>
      </w:r>
    </w:p>
    <w:p w14:paraId="4F7028DC" w14:textId="77777777" w:rsidR="007231B9" w:rsidRPr="007231B9" w:rsidRDefault="007231B9" w:rsidP="00723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hyperlink r:id="rId8" w:history="1">
        <w:proofErr w:type="spellStart"/>
        <w:r w:rsidRPr="007231B9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Yingping</w:t>
        </w:r>
        <w:proofErr w:type="spellEnd"/>
        <w:r w:rsidRPr="007231B9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 xml:space="preserve"> Gu</w:t>
        </w:r>
      </w:hyperlink>
      <w:r w:rsidRPr="007231B9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begin"/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instrText>HYPERLINK "https://onlinelibrary.wiley.com/authored-by/Ouyang/Wenxian"</w:instrTex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separate"/>
      </w:r>
      <w:r w:rsidRPr="007231B9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>Wenxian</w:t>
      </w:r>
      <w:proofErr w:type="spellEnd"/>
      <w:r w:rsidRPr="007231B9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 xml:space="preserve"> Ouyang</w: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end"/>
      </w:r>
      <w:r w:rsidRPr="007231B9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begin"/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instrText>HYPERLINK "https://onlinelibrary.wiley.com/authored-by/Li/Shuangjie"</w:instrTex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separate"/>
      </w:r>
      <w:r w:rsidRPr="007231B9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>Shuangjie</w:t>
      </w:r>
      <w:proofErr w:type="spellEnd"/>
      <w:r w:rsidRPr="007231B9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 xml:space="preserve"> Li</w: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end"/>
      </w:r>
      <w:r w:rsidRPr="007231B9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9" w:history="1">
        <w:r w:rsidRPr="007231B9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Zhenzhen Yao</w:t>
        </w:r>
      </w:hyperlink>
      <w:r w:rsidRPr="007231B9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0" w:history="1">
        <w:r w:rsidRPr="007231B9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Ling Ye</w:t>
        </w:r>
      </w:hyperlink>
      <w:r w:rsidRPr="007231B9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1" w:history="1">
        <w:r w:rsidRPr="007231B9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Meng Yang</w:t>
        </w:r>
      </w:hyperlink>
      <w:r w:rsidRPr="007231B9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2" w:history="1">
        <w:r w:rsidRPr="007231B9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Sisi Li</w:t>
        </w:r>
      </w:hyperlink>
      <w:r w:rsidRPr="007231B9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begin"/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instrText>HYPERLINK "https://onlinelibrary.wiley.com/authored-by/Peng/Songxu"</w:instrTex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separate"/>
      </w:r>
      <w:r w:rsidRPr="007231B9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>Songxu</w:t>
      </w:r>
      <w:proofErr w:type="spellEnd"/>
      <w:r w:rsidRPr="007231B9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 xml:space="preserve"> Peng</w: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end"/>
      </w:r>
    </w:p>
    <w:p w14:paraId="1CDC5A83" w14:textId="77777777" w:rsidR="007231B9" w:rsidRPr="007231B9" w:rsidRDefault="007231B9" w:rsidP="00723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 xml:space="preserve">First published: </w:t>
      </w:r>
      <w:r w:rsidRPr="007231B9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17 August 2025</w:t>
      </w:r>
    </w:p>
    <w:p w14:paraId="4C891E38" w14:textId="77777777" w:rsidR="007231B9" w:rsidRPr="007231B9" w:rsidRDefault="007231B9" w:rsidP="00723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> </w:t>
      </w:r>
    </w:p>
    <w:p w14:paraId="435920E3" w14:textId="77777777" w:rsidR="007231B9" w:rsidRPr="007231B9" w:rsidRDefault="007231B9" w:rsidP="00723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hyperlink r:id="rId13" w:history="1">
        <w:r w:rsidRPr="007231B9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https://doi.org/10.1002/jpn3.70196</w:t>
        </w:r>
      </w:hyperlink>
    </w:p>
    <w:p w14:paraId="4D4F7670" w14:textId="77777777" w:rsidR="007231B9" w:rsidRPr="007231B9" w:rsidRDefault="007231B9" w:rsidP="007231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en-GB"/>
          <w14:ligatures w14:val="none"/>
        </w:rPr>
      </w:pPr>
      <w:hyperlink r:id="rId14" w:history="1">
        <w:r w:rsidRPr="007231B9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lang w:eastAsia="en-GB"/>
            <w14:ligatures w14:val="none"/>
          </w:rPr>
          <w:t>Read the</w:t>
        </w:r>
        <w:r w:rsidRPr="007231B9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 full text</w:t>
        </w:r>
      </w:hyperlink>
    </w:p>
    <w:p w14:paraId="45C7BA0A" w14:textId="77777777" w:rsidR="007231B9" w:rsidRPr="007231B9" w:rsidRDefault="007231B9" w:rsidP="007231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  <w:t>Abstract</w:t>
      </w:r>
    </w:p>
    <w:p w14:paraId="1A38EDA6" w14:textId="77777777" w:rsidR="007231B9" w:rsidRPr="007231B9" w:rsidRDefault="007231B9" w:rsidP="007231B9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Objectives</w:t>
      </w:r>
    </w:p>
    <w:p w14:paraId="1501AEE2" w14:textId="77777777" w:rsidR="007231B9" w:rsidRPr="007231B9" w:rsidRDefault="007231B9" w:rsidP="007231B9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The coexistence of hepatitis B e antigen (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) and hepatitis B e antibody (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) during antiviral therapy is considered atypical in patients with chronic hepatitis B (CHB), and its clinical implications remain inadequately understood, particularly in 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pediatric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patients. This study aimed to investigate the clinical characteristics of this coexistence pattern and its impact on the outcomes of combined antiviral therapy in children with CHB.</w:t>
      </w:r>
    </w:p>
    <w:p w14:paraId="7C9EC2B4" w14:textId="77777777" w:rsidR="007231B9" w:rsidRPr="007231B9" w:rsidRDefault="007231B9" w:rsidP="007231B9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Methods</w:t>
      </w:r>
    </w:p>
    <w:p w14:paraId="71A072D7" w14:textId="77777777" w:rsidR="007231B9" w:rsidRPr="007231B9" w:rsidRDefault="007231B9" w:rsidP="007231B9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A total of 254 treatment-naïve children diagnosed with 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-positive CHB were retrospectively enrolled. All patients received combination therapy with entecavir and interferon-alpha/pegylated-interferon-alpha. Participants were categorized into a coexistence group and a control group based on whether 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and 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coexisted during treatment period. Clinical characteristics and treatment outcomes were compared, and Cox regression analysis was used to evaluate factors influencing the coexistence pattern and its association with antiviral responses.</w:t>
      </w:r>
    </w:p>
    <w:p w14:paraId="3362A143" w14:textId="77777777" w:rsidR="007231B9" w:rsidRPr="007231B9" w:rsidRDefault="007231B9" w:rsidP="007231B9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lastRenderedPageBreak/>
        <w:t>Results</w:t>
      </w:r>
    </w:p>
    <w:p w14:paraId="69D14441" w14:textId="77777777" w:rsidR="007231B9" w:rsidRPr="007231B9" w:rsidRDefault="007231B9" w:rsidP="007231B9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The incidence of 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and 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coexistence during antiviral therapy was 35.43% (90/254). This pattern was associated with the higher HBV DNA levels (hazard ratio [HR] = 1.25, </w:t>
      </w:r>
      <w:r w:rsidRPr="007231B9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en-GB"/>
          <w14:ligatures w14:val="none"/>
        </w:rPr>
        <w:t>p</w: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 = 0.009) at baseline. Notably, children in the coexistence group demonstrated a greater likelihood of achieving HBsAg loss (HR = 2.58, </w:t>
      </w:r>
      <w:r w:rsidRPr="007231B9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en-GB"/>
          <w14:ligatures w14:val="none"/>
        </w:rPr>
        <w:t>p</w: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 &lt; 0.001), 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loss (HR = 2.23, </w:t>
      </w:r>
      <w:r w:rsidRPr="007231B9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en-GB"/>
          <w14:ligatures w14:val="none"/>
        </w:rPr>
        <w:t>p</w: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 &lt; 0.001) and HBV-DNA undetectability (HR = 1.42, </w:t>
      </w:r>
      <w:r w:rsidRPr="007231B9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en-GB"/>
          <w14:ligatures w14:val="none"/>
        </w:rPr>
        <w:t>p</w:t>
      </w: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 = 0.034).</w:t>
      </w:r>
    </w:p>
    <w:p w14:paraId="1C34654E" w14:textId="77777777" w:rsidR="007231B9" w:rsidRPr="007231B9" w:rsidRDefault="007231B9" w:rsidP="007231B9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Conclusions</w:t>
      </w:r>
    </w:p>
    <w:p w14:paraId="211F2632" w14:textId="77777777" w:rsidR="007231B9" w:rsidRPr="007231B9" w:rsidRDefault="007231B9" w:rsidP="007231B9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The 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/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coexistence pattern is relatively common during antiviral therapy in children and is associated with significantly improved treatment outcomes. These findings highlight the importance of monitoring 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/</w:t>
      </w:r>
      <w:proofErr w:type="spellStart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dynamics and continuing treatment during this critical phase.</w:t>
      </w:r>
    </w:p>
    <w:p w14:paraId="4309233B" w14:textId="77777777" w:rsidR="007231B9" w:rsidRPr="007231B9" w:rsidRDefault="007231B9" w:rsidP="007231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  <w:t>Graphical Abstract</w:t>
      </w:r>
    </w:p>
    <w:p w14:paraId="50996AD2" w14:textId="77777777" w:rsidR="007231B9" w:rsidRPr="007231B9" w:rsidRDefault="007231B9" w:rsidP="007231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noProof/>
          <w:color w:val="123D8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0D0EB66D" wp14:editId="08793DDB">
            <wp:extent cx="4762500" cy="2676525"/>
            <wp:effectExtent l="0" t="0" r="0" b="9525"/>
            <wp:docPr id="3" name="Picture 1" descr="Description unavailable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unavailable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D2B5" w14:textId="77777777" w:rsidR="007231B9" w:rsidRPr="007231B9" w:rsidRDefault="007231B9" w:rsidP="007231B9">
      <w:pPr>
        <w:shd w:val="clear" w:color="auto" w:fill="FFFFFF"/>
        <w:spacing w:before="100" w:beforeAutospacing="1" w:after="18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  <w:t>CONFLICT OF INTEREST STATEMENT</w:t>
      </w:r>
    </w:p>
    <w:p w14:paraId="2FD72A1E" w14:textId="77777777" w:rsidR="007231B9" w:rsidRPr="007231B9" w:rsidRDefault="007231B9" w:rsidP="007231B9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7231B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The authors declare no conflicts of interest.</w:t>
      </w:r>
    </w:p>
    <w:p w14:paraId="73736F8E" w14:textId="77777777" w:rsidR="00FD0FD3" w:rsidRPr="00D959ED" w:rsidRDefault="00FD0FD3" w:rsidP="00FD0FD3">
      <w:pP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</w:p>
    <w:p w14:paraId="654FD0D6" w14:textId="77777777" w:rsidR="00057CD9" w:rsidRDefault="00057CD9"/>
    <w:sectPr w:rsidR="0005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49EE"/>
    <w:multiLevelType w:val="multilevel"/>
    <w:tmpl w:val="EFD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916F8"/>
    <w:multiLevelType w:val="multilevel"/>
    <w:tmpl w:val="AD9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A06EE"/>
    <w:multiLevelType w:val="multilevel"/>
    <w:tmpl w:val="4D8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42F20"/>
    <w:multiLevelType w:val="multilevel"/>
    <w:tmpl w:val="52FC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415304">
    <w:abstractNumId w:val="2"/>
  </w:num>
  <w:num w:numId="2" w16cid:durableId="533540689">
    <w:abstractNumId w:val="3"/>
  </w:num>
  <w:num w:numId="3" w16cid:durableId="2060471355">
    <w:abstractNumId w:val="0"/>
  </w:num>
  <w:num w:numId="4" w16cid:durableId="79240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9"/>
    <w:rsid w:val="00057CD9"/>
    <w:rsid w:val="000E7C3D"/>
    <w:rsid w:val="001A30D7"/>
    <w:rsid w:val="0023463A"/>
    <w:rsid w:val="002432DB"/>
    <w:rsid w:val="002E64D2"/>
    <w:rsid w:val="0032500D"/>
    <w:rsid w:val="00355C5C"/>
    <w:rsid w:val="00397978"/>
    <w:rsid w:val="003F0955"/>
    <w:rsid w:val="00401E91"/>
    <w:rsid w:val="004A0BC0"/>
    <w:rsid w:val="004B4B3F"/>
    <w:rsid w:val="005952E2"/>
    <w:rsid w:val="00613203"/>
    <w:rsid w:val="006268E7"/>
    <w:rsid w:val="00685202"/>
    <w:rsid w:val="007231B9"/>
    <w:rsid w:val="00804C2E"/>
    <w:rsid w:val="00817074"/>
    <w:rsid w:val="008709D2"/>
    <w:rsid w:val="008A45DF"/>
    <w:rsid w:val="008A7DBD"/>
    <w:rsid w:val="0090050B"/>
    <w:rsid w:val="00A7710D"/>
    <w:rsid w:val="00B05856"/>
    <w:rsid w:val="00B72CCC"/>
    <w:rsid w:val="00B76358"/>
    <w:rsid w:val="00BB56DE"/>
    <w:rsid w:val="00BC3872"/>
    <w:rsid w:val="00BE110F"/>
    <w:rsid w:val="00C33BE4"/>
    <w:rsid w:val="00C72F48"/>
    <w:rsid w:val="00C755AD"/>
    <w:rsid w:val="00C8635F"/>
    <w:rsid w:val="00D263AA"/>
    <w:rsid w:val="00D73465"/>
    <w:rsid w:val="00D959ED"/>
    <w:rsid w:val="00E52AB0"/>
    <w:rsid w:val="00EA5B33"/>
    <w:rsid w:val="00EB2974"/>
    <w:rsid w:val="00ED7228"/>
    <w:rsid w:val="00F13B52"/>
    <w:rsid w:val="00F24EBA"/>
    <w:rsid w:val="00F45017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4A6"/>
  <w15:chartTrackingRefBased/>
  <w15:docId w15:val="{68EF078B-5600-497D-BE6E-25FF13F6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C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7C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3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8623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04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5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68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28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1F1F1F"/>
                        <w:left w:val="single" w:sz="24" w:space="0" w:color="1F1F1F"/>
                        <w:bottom w:val="single" w:sz="24" w:space="0" w:color="1F1F1F"/>
                        <w:right w:val="single" w:sz="24" w:space="0" w:color="1F1F1F"/>
                      </w:divBdr>
                      <w:divsChild>
                        <w:div w:id="6207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643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7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2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1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4296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8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4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81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811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7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05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34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8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00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5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48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652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9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8508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7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161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0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1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653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306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6798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901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5092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695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1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27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9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43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6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4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3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1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7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8D9DA"/>
                                        <w:right w:val="none" w:sz="0" w:space="0" w:color="auto"/>
                                      </w:divBdr>
                                      <w:divsChild>
                                        <w:div w:id="2121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8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9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8317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6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563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498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2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3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239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Gu/Yingping" TargetMode="External"/><Relationship Id="rId13" Type="http://schemas.openxmlformats.org/officeDocument/2006/relationships/hyperlink" Target="https://doi.org/10.1002/jpn3.701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nlinelibrary.wiley.com/authored-by/Li/Si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journal/15364801" TargetMode="External"/><Relationship Id="rId11" Type="http://schemas.openxmlformats.org/officeDocument/2006/relationships/hyperlink" Target="https://onlinelibrary.wiley.com/authored-by/Yang/Meng" TargetMode="External"/><Relationship Id="rId5" Type="http://schemas.openxmlformats.org/officeDocument/2006/relationships/hyperlink" Target="https://onlinelibrary.wiley.com/doi/10.1002/jpn3.70196" TargetMode="External"/><Relationship Id="rId15" Type="http://schemas.openxmlformats.org/officeDocument/2006/relationships/hyperlink" Target="https://onlinelibrary.wiley.com/cms/asset/3336cfd4-5150-4542-8965-9997f24b3c4b/jpn370196-gra-0001-m.jpg" TargetMode="External"/><Relationship Id="rId10" Type="http://schemas.openxmlformats.org/officeDocument/2006/relationships/hyperlink" Target="https://onlinelibrary.wiley.com/authored-by/Ye/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uthored-by/Yao/Zhenzhen" TargetMode="External"/><Relationship Id="rId14" Type="http://schemas.openxmlformats.org/officeDocument/2006/relationships/hyperlink" Target="https://onlinelibrary.wiley.com/doi/full/10.1002/jpn3.70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Alqahtani</dc:creator>
  <cp:keywords/>
  <dc:description/>
  <cp:lastModifiedBy>Fatimah Alqahtani</cp:lastModifiedBy>
  <cp:revision>5</cp:revision>
  <dcterms:created xsi:type="dcterms:W3CDTF">2025-09-01T09:38:00Z</dcterms:created>
  <dcterms:modified xsi:type="dcterms:W3CDTF">2025-09-01T09:40:00Z</dcterms:modified>
</cp:coreProperties>
</file>