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BA96" w14:textId="3D90C8B7" w:rsidR="008B43C4" w:rsidRDefault="008B43C4" w:rsidP="00271C89">
      <w:r>
        <w:t xml:space="preserve">Link: </w:t>
      </w:r>
      <w:hyperlink r:id="rId4" w:history="1">
        <w:r w:rsidR="007160FF" w:rsidRPr="00DC262E">
          <w:rPr>
            <w:rStyle w:val="Hyperlink"/>
          </w:rPr>
          <w:t>https://onlinelibrary.wiley.com/doi/10.1002/jpn3.70171</w:t>
        </w:r>
      </w:hyperlink>
    </w:p>
    <w:p w14:paraId="084814D4" w14:textId="77777777" w:rsidR="007160FF" w:rsidRDefault="007160FF" w:rsidP="00271C89"/>
    <w:p w14:paraId="3274267B" w14:textId="77777777" w:rsidR="00271C89" w:rsidRPr="00271C89" w:rsidRDefault="00271C89" w:rsidP="00271C89">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271C89">
        <w:rPr>
          <w:rFonts w:ascii="Open Sans" w:eastAsia="Times New Roman" w:hAnsi="Open Sans" w:cs="Open Sans"/>
          <w:noProof/>
          <w:color w:val="123D80"/>
          <w:kern w:val="0"/>
          <w:sz w:val="21"/>
          <w:szCs w:val="21"/>
          <w:lang w:eastAsia="en-GB"/>
          <w14:ligatures w14:val="none"/>
        </w:rPr>
        <w:drawing>
          <wp:inline distT="0" distB="0" distL="0" distR="0" wp14:anchorId="47DEFCF6" wp14:editId="509B3F3C">
            <wp:extent cx="6572250" cy="752475"/>
            <wp:effectExtent l="0" t="0" r="0" b="9525"/>
            <wp:docPr id="1" name="journal-banner-image" descr="Journal of Pediatric Gastroenterology and Nutrition">
              <a:hlinkClick xmlns:a="http://schemas.openxmlformats.org/drawingml/2006/main" r:id="rId5"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5" tooltip="&quot;Journal of Pediatric Gastroenterology and Nutrition home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2CF4FAE0" w14:textId="77777777" w:rsidR="00271C89" w:rsidRPr="00271C89" w:rsidRDefault="00271C89" w:rsidP="00271C89">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271C89">
        <w:rPr>
          <w:rFonts w:ascii="Open Sans" w:eastAsia="Times New Roman" w:hAnsi="Open Sans" w:cs="Open Sans"/>
          <w:color w:val="1C1D1E"/>
          <w:kern w:val="0"/>
          <w:sz w:val="21"/>
          <w:szCs w:val="21"/>
          <w:lang w:eastAsia="en-GB"/>
          <w14:ligatures w14:val="none"/>
        </w:rPr>
        <w:t>ORIGINAL ARTICLE</w:t>
      </w:r>
    </w:p>
    <w:p w14:paraId="4D493413" w14:textId="77777777" w:rsidR="00271C89" w:rsidRPr="00271C89" w:rsidRDefault="00271C89" w:rsidP="00271C89">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271C89">
        <w:rPr>
          <w:rFonts w:ascii="Open Sans" w:eastAsia="Times New Roman" w:hAnsi="Open Sans" w:cs="Open Sans"/>
          <w:b/>
          <w:bCs/>
          <w:color w:val="1C1D1E"/>
          <w:kern w:val="36"/>
          <w:sz w:val="48"/>
          <w:szCs w:val="48"/>
          <w:lang w:val="en" w:eastAsia="en-GB"/>
          <w14:ligatures w14:val="none"/>
        </w:rPr>
        <w:t>Pyridostigmine improves feeding tolerance in pediatric intestinal pseudo-obstruction: A single-center analysis</w:t>
      </w:r>
    </w:p>
    <w:p w14:paraId="0C5F886F" w14:textId="77777777" w:rsidR="00271C89" w:rsidRPr="00271C89" w:rsidRDefault="00271C89" w:rsidP="00271C89">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7" w:history="1">
        <w:r w:rsidRPr="00271C89">
          <w:rPr>
            <w:rFonts w:ascii="Open Sans" w:eastAsia="Times New Roman" w:hAnsi="Open Sans" w:cs="Open Sans"/>
            <w:color w:val="123D80"/>
            <w:kern w:val="0"/>
            <w:sz w:val="21"/>
            <w:szCs w:val="21"/>
            <w:u w:val="single"/>
            <w:bdr w:val="none" w:sz="0" w:space="0" w:color="auto" w:frame="1"/>
            <w:lang w:eastAsia="en-GB"/>
            <w14:ligatures w14:val="none"/>
          </w:rPr>
          <w:t>Teresa Capriati</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8" w:history="1">
        <w:r w:rsidRPr="00271C89">
          <w:rPr>
            <w:rFonts w:ascii="Open Sans" w:eastAsia="Times New Roman" w:hAnsi="Open Sans" w:cs="Open Sans"/>
            <w:color w:val="123D80"/>
            <w:kern w:val="0"/>
            <w:sz w:val="21"/>
            <w:szCs w:val="21"/>
            <w:u w:val="single"/>
            <w:bdr w:val="none" w:sz="0" w:space="0" w:color="auto" w:frame="1"/>
            <w:lang w:eastAsia="en-GB"/>
            <w14:ligatures w14:val="none"/>
          </w:rPr>
          <w:t>Roberto De Giorgio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271C89">
          <w:rPr>
            <w:rFonts w:ascii="Open Sans" w:eastAsia="Times New Roman" w:hAnsi="Open Sans" w:cs="Open Sans"/>
            <w:color w:val="123D80"/>
            <w:kern w:val="0"/>
            <w:sz w:val="21"/>
            <w:szCs w:val="21"/>
            <w:u w:val="single"/>
            <w:bdr w:val="none" w:sz="0" w:space="0" w:color="auto" w:frame="1"/>
            <w:lang w:eastAsia="en-GB"/>
            <w14:ligatures w14:val="none"/>
          </w:rPr>
          <w:t>Fabrizio Chiusolo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271C89">
          <w:rPr>
            <w:rFonts w:ascii="Open Sans" w:eastAsia="Times New Roman" w:hAnsi="Open Sans" w:cs="Open Sans"/>
            <w:color w:val="123D80"/>
            <w:kern w:val="0"/>
            <w:sz w:val="21"/>
            <w:szCs w:val="21"/>
            <w:u w:val="single"/>
            <w:bdr w:val="none" w:sz="0" w:space="0" w:color="auto" w:frame="1"/>
            <w:lang w:eastAsia="en-GB"/>
            <w14:ligatures w14:val="none"/>
          </w:rPr>
          <w:t>Renato Tambucci</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271C89">
          <w:rPr>
            <w:rFonts w:ascii="Open Sans" w:eastAsia="Times New Roman" w:hAnsi="Open Sans" w:cs="Open Sans"/>
            <w:color w:val="123D80"/>
            <w:kern w:val="0"/>
            <w:sz w:val="21"/>
            <w:szCs w:val="21"/>
            <w:u w:val="single"/>
            <w:bdr w:val="none" w:sz="0" w:space="0" w:color="auto" w:frame="1"/>
            <w:lang w:eastAsia="en-GB"/>
            <w14:ligatures w14:val="none"/>
          </w:rPr>
          <w:t>Fabio Fusaro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271C89">
          <w:rPr>
            <w:rFonts w:ascii="Open Sans" w:eastAsia="Times New Roman" w:hAnsi="Open Sans" w:cs="Open Sans"/>
            <w:color w:val="123D80"/>
            <w:kern w:val="0"/>
            <w:sz w:val="21"/>
            <w:szCs w:val="21"/>
            <w:u w:val="single"/>
            <w:bdr w:val="none" w:sz="0" w:space="0" w:color="auto" w:frame="1"/>
            <w:lang w:eastAsia="en-GB"/>
            <w14:ligatures w14:val="none"/>
          </w:rPr>
          <w:t>Tamara Caldaro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3" w:history="1">
        <w:r w:rsidRPr="00271C89">
          <w:rPr>
            <w:rFonts w:ascii="Open Sans" w:eastAsia="Times New Roman" w:hAnsi="Open Sans" w:cs="Open Sans"/>
            <w:color w:val="123D80"/>
            <w:kern w:val="0"/>
            <w:sz w:val="21"/>
            <w:szCs w:val="21"/>
            <w:u w:val="single"/>
            <w:bdr w:val="none" w:sz="0" w:space="0" w:color="auto" w:frame="1"/>
            <w:lang w:eastAsia="en-GB"/>
            <w14:ligatures w14:val="none"/>
          </w:rPr>
          <w:t>Chiara Maria Trovato</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4" w:history="1">
        <w:r w:rsidRPr="00271C89">
          <w:rPr>
            <w:rFonts w:ascii="Open Sans" w:eastAsia="Times New Roman" w:hAnsi="Open Sans" w:cs="Open Sans"/>
            <w:color w:val="123D80"/>
            <w:kern w:val="0"/>
            <w:sz w:val="21"/>
            <w:szCs w:val="21"/>
            <w:u w:val="single"/>
            <w:bdr w:val="none" w:sz="0" w:space="0" w:color="auto" w:frame="1"/>
            <w:lang w:eastAsia="en-GB"/>
            <w14:ligatures w14:val="none"/>
          </w:rPr>
          <w:t>Elena Bonora</w:t>
        </w:r>
      </w:hyperlink>
      <w:r w:rsidRPr="00271C89">
        <w:rPr>
          <w:rFonts w:ascii="Open Sans" w:eastAsia="Times New Roman" w:hAnsi="Open Sans" w:cs="Open Sans"/>
          <w:color w:val="8B8B8B"/>
          <w:kern w:val="0"/>
          <w:sz w:val="21"/>
          <w:szCs w:val="21"/>
          <w:bdr w:val="none" w:sz="0" w:space="0" w:color="auto" w:frame="1"/>
          <w:lang w:eastAsia="en-GB"/>
          <w14:ligatures w14:val="none"/>
        </w:rPr>
        <w:t>, </w:t>
      </w:r>
      <w:hyperlink r:id="rId15" w:history="1">
        <w:r w:rsidRPr="00271C89">
          <w:rPr>
            <w:rFonts w:ascii="Open Sans" w:eastAsia="Times New Roman" w:hAnsi="Open Sans" w:cs="Open Sans"/>
            <w:color w:val="123D80"/>
            <w:kern w:val="0"/>
            <w:sz w:val="21"/>
            <w:szCs w:val="21"/>
            <w:u w:val="single"/>
            <w:bdr w:val="none" w:sz="0" w:space="0" w:color="auto" w:frame="1"/>
            <w:lang w:eastAsia="en-GB"/>
            <w14:ligatures w14:val="none"/>
          </w:rPr>
          <w:t>Antonella Diamanti</w:t>
        </w:r>
      </w:hyperlink>
    </w:p>
    <w:p w14:paraId="4801C165" w14:textId="77777777" w:rsidR="00271C89" w:rsidRPr="00271C89" w:rsidRDefault="00271C89" w:rsidP="00271C89">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271C89">
        <w:rPr>
          <w:rFonts w:ascii="Open Sans" w:eastAsia="Times New Roman" w:hAnsi="Open Sans" w:cs="Open Sans"/>
          <w:color w:val="767676"/>
          <w:kern w:val="0"/>
          <w:sz w:val="21"/>
          <w:szCs w:val="21"/>
          <w:lang w:eastAsia="en-GB"/>
          <w14:ligatures w14:val="none"/>
        </w:rPr>
        <w:t xml:space="preserve">First published: </w:t>
      </w:r>
      <w:r w:rsidRPr="00271C89">
        <w:rPr>
          <w:rFonts w:ascii="Open Sans" w:eastAsia="Times New Roman" w:hAnsi="Open Sans" w:cs="Open Sans"/>
          <w:color w:val="1C1D1E"/>
          <w:kern w:val="0"/>
          <w:sz w:val="21"/>
          <w:szCs w:val="21"/>
          <w:lang w:eastAsia="en-GB"/>
          <w14:ligatures w14:val="none"/>
        </w:rPr>
        <w:t>04 August 2025</w:t>
      </w:r>
    </w:p>
    <w:p w14:paraId="06652CF1" w14:textId="77777777" w:rsidR="00271C89" w:rsidRPr="00271C89" w:rsidRDefault="00271C89" w:rsidP="00271C89">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271C89">
        <w:rPr>
          <w:rFonts w:ascii="Open Sans" w:eastAsia="Times New Roman" w:hAnsi="Open Sans" w:cs="Open Sans"/>
          <w:color w:val="767676"/>
          <w:kern w:val="0"/>
          <w:sz w:val="21"/>
          <w:szCs w:val="21"/>
          <w:lang w:eastAsia="en-GB"/>
          <w14:ligatures w14:val="none"/>
        </w:rPr>
        <w:t> </w:t>
      </w:r>
    </w:p>
    <w:p w14:paraId="7279C694" w14:textId="77777777" w:rsidR="00271C89" w:rsidRPr="00271C89" w:rsidRDefault="00271C89" w:rsidP="00271C89">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16" w:history="1">
        <w:r w:rsidRPr="00271C89">
          <w:rPr>
            <w:rFonts w:ascii="Open Sans" w:eastAsia="Times New Roman" w:hAnsi="Open Sans" w:cs="Open Sans"/>
            <w:b/>
            <w:bCs/>
            <w:color w:val="123D80"/>
            <w:kern w:val="0"/>
            <w:sz w:val="21"/>
            <w:szCs w:val="21"/>
            <w:u w:val="single"/>
            <w:lang w:eastAsia="en-GB"/>
            <w14:ligatures w14:val="none"/>
          </w:rPr>
          <w:t>https://doi.org/10.1002/jpn3.70171</w:t>
        </w:r>
      </w:hyperlink>
    </w:p>
    <w:p w14:paraId="44C42256" w14:textId="77777777" w:rsidR="00271C89" w:rsidRPr="00271C89" w:rsidRDefault="00271C89" w:rsidP="00271C89">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17" w:history="1">
        <w:r w:rsidRPr="00271C89">
          <w:rPr>
            <w:rFonts w:ascii="Open Sans" w:eastAsia="Times New Roman" w:hAnsi="Open Sans" w:cs="Open Sans"/>
            <w:b/>
            <w:bCs/>
            <w:color w:val="123D80"/>
            <w:kern w:val="0"/>
            <w:sz w:val="21"/>
            <w:szCs w:val="21"/>
            <w:lang w:eastAsia="en-GB"/>
            <w14:ligatures w14:val="none"/>
          </w:rPr>
          <w:t>Read the</w:t>
        </w:r>
        <w:r w:rsidRPr="00271C89">
          <w:rPr>
            <w:rFonts w:ascii="Open Sans" w:eastAsia="Times New Roman" w:hAnsi="Open Sans" w:cs="Open Sans"/>
            <w:b/>
            <w:bCs/>
            <w:color w:val="123D80"/>
            <w:kern w:val="0"/>
            <w:sz w:val="21"/>
            <w:szCs w:val="21"/>
            <w:u w:val="single"/>
            <w:lang w:eastAsia="en-GB"/>
            <w14:ligatures w14:val="none"/>
          </w:rPr>
          <w:t> full text</w:t>
        </w:r>
      </w:hyperlink>
    </w:p>
    <w:p w14:paraId="0FFB1085" w14:textId="77777777" w:rsidR="00271C89" w:rsidRPr="00271C89" w:rsidRDefault="00271C89" w:rsidP="00271C89">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271C89">
        <w:rPr>
          <w:rFonts w:ascii="Open Sans" w:eastAsia="Times New Roman" w:hAnsi="Open Sans" w:cs="Open Sans"/>
          <w:b/>
          <w:bCs/>
          <w:color w:val="313131"/>
          <w:kern w:val="0"/>
          <w:sz w:val="27"/>
          <w:szCs w:val="27"/>
          <w:lang w:eastAsia="en-GB"/>
          <w14:ligatures w14:val="none"/>
        </w:rPr>
        <w:t>Abstract</w:t>
      </w:r>
    </w:p>
    <w:p w14:paraId="2DB57A7C"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Objectives</w:t>
      </w:r>
    </w:p>
    <w:p w14:paraId="2628BB6B"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t xml:space="preserve">Primary and secondary forms of </w:t>
      </w:r>
      <w:proofErr w:type="spellStart"/>
      <w:r w:rsidRPr="00271C89">
        <w:rPr>
          <w:rFonts w:ascii="Open Sans" w:eastAsia="Times New Roman" w:hAnsi="Open Sans" w:cs="Open Sans"/>
          <w:color w:val="000000"/>
          <w:kern w:val="0"/>
          <w:sz w:val="21"/>
          <w:szCs w:val="21"/>
          <w:lang w:eastAsia="en-GB"/>
          <w14:ligatures w14:val="none"/>
        </w:rPr>
        <w:t>pediatric</w:t>
      </w:r>
      <w:proofErr w:type="spellEnd"/>
      <w:r w:rsidRPr="00271C89">
        <w:rPr>
          <w:rFonts w:ascii="Open Sans" w:eastAsia="Times New Roman" w:hAnsi="Open Sans" w:cs="Open Sans"/>
          <w:color w:val="000000"/>
          <w:kern w:val="0"/>
          <w:sz w:val="21"/>
          <w:szCs w:val="21"/>
          <w:lang w:eastAsia="en-GB"/>
          <w14:ligatures w14:val="none"/>
        </w:rPr>
        <w:t xml:space="preserve"> intestinal pseudo-obstruction (PIPO) are severe intestinal dysmotility disorders with a high risk of mortality and poor quality of life. Nutritional supports and current management have improved in part the prognosis, although several unmet needs challenge physicians. Prokinetic drugs may facilitate enteral nutrition (EN)/oral feeding (OF) and decrease parenteral nutrition (PN). Pyridostigmine has been effectively used in adults with severe gut dysmotility; however, experience in PIPO patients is still limited.</w:t>
      </w:r>
    </w:p>
    <w:p w14:paraId="03AABF95"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Methods</w:t>
      </w:r>
    </w:p>
    <w:p w14:paraId="48846416"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proofErr w:type="gramStart"/>
      <w:r w:rsidRPr="00271C89">
        <w:rPr>
          <w:rFonts w:ascii="Open Sans" w:eastAsia="Times New Roman" w:hAnsi="Open Sans" w:cs="Open Sans"/>
          <w:color w:val="000000"/>
          <w:kern w:val="0"/>
          <w:sz w:val="21"/>
          <w:szCs w:val="21"/>
          <w:lang w:eastAsia="en-GB"/>
          <w14:ligatures w14:val="none"/>
        </w:rPr>
        <w:t>Patients</w:t>
      </w:r>
      <w:proofErr w:type="gramEnd"/>
      <w:r w:rsidRPr="00271C89">
        <w:rPr>
          <w:rFonts w:ascii="Open Sans" w:eastAsia="Times New Roman" w:hAnsi="Open Sans" w:cs="Open Sans"/>
          <w:color w:val="000000"/>
          <w:kern w:val="0"/>
          <w:sz w:val="21"/>
          <w:szCs w:val="21"/>
          <w:lang w:eastAsia="en-GB"/>
          <w14:ligatures w14:val="none"/>
        </w:rPr>
        <w:t xml:space="preserve"> intolerant to EN/OF in the previous 6 months were treated with pyridostigmine. We studied nutritional outcomes (caloric intake by EN/OF and PN as well as growth) at the beginning and after 6 and 12 months of pyridostigmine. Also, we collected clinical outcomes 12 months before and after pyridostigmine treatment.</w:t>
      </w:r>
    </w:p>
    <w:p w14:paraId="1A00793C"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Results</w:t>
      </w:r>
    </w:p>
    <w:p w14:paraId="1F37B316"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lastRenderedPageBreak/>
        <w:t>A total of 10 patients were included in the data analysis. Pyridostigmine (0.44–3.4 mg/Kg/day) resulted in a significant increase in EN tolerance: median caloric intake by EN/OF was &gt;25% at 12 months (</w:t>
      </w:r>
      <w:r w:rsidRPr="00271C89">
        <w:rPr>
          <w:rFonts w:ascii="Open Sans" w:eastAsia="Times New Roman" w:hAnsi="Open Sans" w:cs="Open Sans"/>
          <w:i/>
          <w:iCs/>
          <w:color w:val="000000"/>
          <w:kern w:val="0"/>
          <w:sz w:val="21"/>
          <w:szCs w:val="21"/>
          <w:lang w:eastAsia="en-GB"/>
          <w14:ligatures w14:val="none"/>
        </w:rPr>
        <w:t>p</w:t>
      </w:r>
      <w:r w:rsidRPr="00271C89">
        <w:rPr>
          <w:rFonts w:ascii="Open Sans" w:eastAsia="Times New Roman" w:hAnsi="Open Sans" w:cs="Open Sans"/>
          <w:color w:val="000000"/>
          <w:kern w:val="0"/>
          <w:sz w:val="21"/>
          <w:szCs w:val="21"/>
          <w:lang w:eastAsia="en-GB"/>
          <w14:ligatures w14:val="none"/>
        </w:rPr>
        <w:t> = 0.0156). In two patients, we achieved complete weaning from PN. In all patients, there was an amelioration of growth (increase in median weight </w:t>
      </w:r>
      <w:r w:rsidRPr="00271C89">
        <w:rPr>
          <w:rFonts w:ascii="Open Sans" w:eastAsia="Times New Roman" w:hAnsi="Open Sans" w:cs="Open Sans"/>
          <w:i/>
          <w:iCs/>
          <w:color w:val="000000"/>
          <w:kern w:val="0"/>
          <w:sz w:val="21"/>
          <w:szCs w:val="21"/>
          <w:lang w:eastAsia="en-GB"/>
          <w14:ligatures w14:val="none"/>
        </w:rPr>
        <w:t>z</w:t>
      </w:r>
      <w:r w:rsidRPr="00271C89">
        <w:rPr>
          <w:rFonts w:ascii="Open Sans" w:eastAsia="Times New Roman" w:hAnsi="Open Sans" w:cs="Open Sans"/>
          <w:color w:val="000000"/>
          <w:kern w:val="0"/>
          <w:sz w:val="21"/>
          <w:szCs w:val="21"/>
          <w:lang w:eastAsia="en-GB"/>
          <w14:ligatures w14:val="none"/>
        </w:rPr>
        <w:t>-score from −1.3 to −0.9) and a reduction in the number of hospitalizations and central line-associated bloodstream infections in the year following pyridostigmine treatment. Only one patient developed pyridostigmine-related bradycardia.</w:t>
      </w:r>
    </w:p>
    <w:p w14:paraId="36DE26FD" w14:textId="77777777" w:rsidR="00271C89" w:rsidRPr="00271C89" w:rsidRDefault="00271C89" w:rsidP="00271C89">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271C89">
        <w:rPr>
          <w:rFonts w:ascii="Open Sans" w:eastAsia="Times New Roman" w:hAnsi="Open Sans" w:cs="Open Sans"/>
          <w:color w:val="1F1F1F"/>
          <w:kern w:val="0"/>
          <w:sz w:val="33"/>
          <w:szCs w:val="33"/>
          <w:lang w:eastAsia="en-GB"/>
          <w14:ligatures w14:val="none"/>
        </w:rPr>
        <w:t>Conclusions</w:t>
      </w:r>
    </w:p>
    <w:p w14:paraId="038A8324"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t>This study showed that pyridostigmine supported the nutritional management by improving EN/OF tolerance and reducing PN dependence. Our data provide a basis for future, ad hoc designed clinical trials testing pyridostigmine in PIPO.</w:t>
      </w:r>
    </w:p>
    <w:p w14:paraId="73D5BDA3" w14:textId="77777777" w:rsidR="00271C89" w:rsidRPr="00271C89" w:rsidRDefault="00271C89" w:rsidP="00271C89">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271C89">
        <w:rPr>
          <w:rFonts w:ascii="Open Sans" w:eastAsia="Times New Roman" w:hAnsi="Open Sans" w:cs="Open Sans"/>
          <w:b/>
          <w:bCs/>
          <w:color w:val="000000"/>
          <w:kern w:val="0"/>
          <w:sz w:val="39"/>
          <w:szCs w:val="39"/>
          <w:lang w:eastAsia="en-GB"/>
          <w14:ligatures w14:val="none"/>
        </w:rPr>
        <w:t>CONFLICT OF INTEREST STATEMENT</w:t>
      </w:r>
    </w:p>
    <w:p w14:paraId="69D913F1" w14:textId="77777777" w:rsidR="00271C89" w:rsidRPr="00271C89" w:rsidRDefault="00271C89" w:rsidP="00271C89">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271C89">
        <w:rPr>
          <w:rFonts w:ascii="Open Sans" w:eastAsia="Times New Roman" w:hAnsi="Open Sans" w:cs="Open Sans"/>
          <w:color w:val="000000"/>
          <w:kern w:val="0"/>
          <w:sz w:val="21"/>
          <w:szCs w:val="21"/>
          <w:lang w:eastAsia="en-GB"/>
          <w14:ligatures w14:val="none"/>
        </w:rPr>
        <w:t>The authors declare no conflicts of interest.</w:t>
      </w:r>
    </w:p>
    <w:p w14:paraId="344A25F4" w14:textId="77777777" w:rsidR="00271C89" w:rsidRPr="008B43C4" w:rsidRDefault="00271C89" w:rsidP="00271C89">
      <w:pPr>
        <w:rPr>
          <w:rFonts w:ascii="Open Sans" w:eastAsia="Times New Roman" w:hAnsi="Open Sans" w:cs="Open Sans"/>
          <w:color w:val="000000"/>
          <w:kern w:val="0"/>
          <w:sz w:val="21"/>
          <w:szCs w:val="21"/>
          <w:lang w:eastAsia="en-GB"/>
          <w14:ligatures w14:val="none"/>
        </w:rPr>
      </w:pPr>
    </w:p>
    <w:p w14:paraId="4F8B96A3" w14:textId="77777777" w:rsidR="008B43C4" w:rsidRDefault="008B43C4"/>
    <w:sectPr w:rsidR="008B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C4"/>
    <w:rsid w:val="00241FA7"/>
    <w:rsid w:val="00271C89"/>
    <w:rsid w:val="007160FF"/>
    <w:rsid w:val="008B43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1BBB"/>
  <w15:chartTrackingRefBased/>
  <w15:docId w15:val="{989FC6DA-740C-44CD-A63B-B265AE45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C4"/>
    <w:rPr>
      <w:rFonts w:eastAsiaTheme="majorEastAsia" w:cstheme="majorBidi"/>
      <w:color w:val="272727" w:themeColor="text1" w:themeTint="D8"/>
    </w:rPr>
  </w:style>
  <w:style w:type="paragraph" w:styleId="Title">
    <w:name w:val="Title"/>
    <w:basedOn w:val="Normal"/>
    <w:next w:val="Normal"/>
    <w:link w:val="TitleChar"/>
    <w:uiPriority w:val="10"/>
    <w:qFormat/>
    <w:rsid w:val="008B4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C4"/>
    <w:pPr>
      <w:spacing w:before="160"/>
      <w:jc w:val="center"/>
    </w:pPr>
    <w:rPr>
      <w:i/>
      <w:iCs/>
      <w:color w:val="404040" w:themeColor="text1" w:themeTint="BF"/>
    </w:rPr>
  </w:style>
  <w:style w:type="character" w:customStyle="1" w:styleId="QuoteChar">
    <w:name w:val="Quote Char"/>
    <w:basedOn w:val="DefaultParagraphFont"/>
    <w:link w:val="Quote"/>
    <w:uiPriority w:val="29"/>
    <w:rsid w:val="008B43C4"/>
    <w:rPr>
      <w:i/>
      <w:iCs/>
      <w:color w:val="404040" w:themeColor="text1" w:themeTint="BF"/>
    </w:rPr>
  </w:style>
  <w:style w:type="paragraph" w:styleId="ListParagraph">
    <w:name w:val="List Paragraph"/>
    <w:basedOn w:val="Normal"/>
    <w:uiPriority w:val="34"/>
    <w:qFormat/>
    <w:rsid w:val="008B43C4"/>
    <w:pPr>
      <w:ind w:left="720"/>
      <w:contextualSpacing/>
    </w:pPr>
  </w:style>
  <w:style w:type="character" w:styleId="IntenseEmphasis">
    <w:name w:val="Intense Emphasis"/>
    <w:basedOn w:val="DefaultParagraphFont"/>
    <w:uiPriority w:val="21"/>
    <w:qFormat/>
    <w:rsid w:val="008B43C4"/>
    <w:rPr>
      <w:i/>
      <w:iCs/>
      <w:color w:val="0F4761" w:themeColor="accent1" w:themeShade="BF"/>
    </w:rPr>
  </w:style>
  <w:style w:type="paragraph" w:styleId="IntenseQuote">
    <w:name w:val="Intense Quote"/>
    <w:basedOn w:val="Normal"/>
    <w:next w:val="Normal"/>
    <w:link w:val="IntenseQuoteChar"/>
    <w:uiPriority w:val="30"/>
    <w:qFormat/>
    <w:rsid w:val="008B4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C4"/>
    <w:rPr>
      <w:i/>
      <w:iCs/>
      <w:color w:val="0F4761" w:themeColor="accent1" w:themeShade="BF"/>
    </w:rPr>
  </w:style>
  <w:style w:type="character" w:styleId="IntenseReference">
    <w:name w:val="Intense Reference"/>
    <w:basedOn w:val="DefaultParagraphFont"/>
    <w:uiPriority w:val="32"/>
    <w:qFormat/>
    <w:rsid w:val="008B43C4"/>
    <w:rPr>
      <w:b/>
      <w:bCs/>
      <w:smallCaps/>
      <w:color w:val="0F4761" w:themeColor="accent1" w:themeShade="BF"/>
      <w:spacing w:val="5"/>
    </w:rPr>
  </w:style>
  <w:style w:type="character" w:styleId="Hyperlink">
    <w:name w:val="Hyperlink"/>
    <w:basedOn w:val="DefaultParagraphFont"/>
    <w:uiPriority w:val="99"/>
    <w:unhideWhenUsed/>
    <w:rsid w:val="008B43C4"/>
    <w:rPr>
      <w:color w:val="467886" w:themeColor="hyperlink"/>
      <w:u w:val="single"/>
    </w:rPr>
  </w:style>
  <w:style w:type="character" w:styleId="UnresolvedMention">
    <w:name w:val="Unresolved Mention"/>
    <w:basedOn w:val="DefaultParagraphFont"/>
    <w:uiPriority w:val="99"/>
    <w:semiHidden/>
    <w:unhideWhenUsed/>
    <w:rsid w:val="008B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De+Giorgio/Roberto" TargetMode="External"/><Relationship Id="rId13" Type="http://schemas.openxmlformats.org/officeDocument/2006/relationships/hyperlink" Target="https://onlinelibrary.wiley.com/authored-by/Trovato/Chiara+Mari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linelibrary.wiley.com/authored-by/Capriati/Teresa" TargetMode="External"/><Relationship Id="rId12" Type="http://schemas.openxmlformats.org/officeDocument/2006/relationships/hyperlink" Target="https://onlinelibrary.wiley.com/authored-by/Caldaro/Tamara" TargetMode="External"/><Relationship Id="rId17" Type="http://schemas.openxmlformats.org/officeDocument/2006/relationships/hyperlink" Target="https://onlinelibrary.wiley.com/doi/full/10.1002/jpn3.70171" TargetMode="External"/><Relationship Id="rId2" Type="http://schemas.openxmlformats.org/officeDocument/2006/relationships/settings" Target="settings.xml"/><Relationship Id="rId16" Type="http://schemas.openxmlformats.org/officeDocument/2006/relationships/hyperlink" Target="https://doi.org/10.1002/jpn3.7017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nlinelibrary.wiley.com/authored-by/Fusaro/Fabio" TargetMode="External"/><Relationship Id="rId5" Type="http://schemas.openxmlformats.org/officeDocument/2006/relationships/hyperlink" Target="https://onlinelibrary.wiley.com/journal/15364801" TargetMode="External"/><Relationship Id="rId15" Type="http://schemas.openxmlformats.org/officeDocument/2006/relationships/hyperlink" Target="https://onlinelibrary.wiley.com/authored-by/Diamanti/Antonella" TargetMode="External"/><Relationship Id="rId10" Type="http://schemas.openxmlformats.org/officeDocument/2006/relationships/hyperlink" Target="https://onlinelibrary.wiley.com/authored-by/Tambucci/Renato" TargetMode="External"/><Relationship Id="rId19" Type="http://schemas.openxmlformats.org/officeDocument/2006/relationships/theme" Target="theme/theme1.xml"/><Relationship Id="rId4" Type="http://schemas.openxmlformats.org/officeDocument/2006/relationships/hyperlink" Target="https://onlinelibrary.wiley.com/doi/10.1002/jpn3.70171" TargetMode="External"/><Relationship Id="rId9" Type="http://schemas.openxmlformats.org/officeDocument/2006/relationships/hyperlink" Target="https://onlinelibrary.wiley.com/authored-by/Chiusolo/Fabrizio" TargetMode="External"/><Relationship Id="rId14" Type="http://schemas.openxmlformats.org/officeDocument/2006/relationships/hyperlink" Target="https://onlinelibrary.wiley.com/authored-by/Bonora/El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2</cp:revision>
  <dcterms:created xsi:type="dcterms:W3CDTF">2025-09-01T10:00:00Z</dcterms:created>
  <dcterms:modified xsi:type="dcterms:W3CDTF">2025-09-01T10:00:00Z</dcterms:modified>
</cp:coreProperties>
</file>